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0F" w:rsidRDefault="00860DE1" w:rsidP="002A6A8D">
      <w:pPr>
        <w:pStyle w:val="Prrafodelista"/>
        <w:numPr>
          <w:ilvl w:val="0"/>
          <w:numId w:val="1"/>
        </w:numPr>
        <w:spacing w:line="360" w:lineRule="auto"/>
        <w:jc w:val="both"/>
        <w:rPr>
          <w:rFonts w:ascii="Arial" w:hAnsi="Arial" w:cs="Arial"/>
          <w:sz w:val="24"/>
          <w:szCs w:val="24"/>
        </w:rPr>
      </w:pPr>
      <w:bookmarkStart w:id="0" w:name="_GoBack"/>
      <w:bookmarkEnd w:id="0"/>
      <w:r w:rsidRPr="002A6A8D">
        <w:rPr>
          <w:rFonts w:ascii="Arial" w:hAnsi="Arial" w:cs="Arial"/>
          <w:sz w:val="24"/>
          <w:szCs w:val="24"/>
        </w:rPr>
        <w:t>TÍTULO</w:t>
      </w:r>
    </w:p>
    <w:p w:rsidR="00911BC8" w:rsidRPr="0051280F" w:rsidRDefault="008943EE" w:rsidP="0051280F">
      <w:pPr>
        <w:spacing w:line="360" w:lineRule="auto"/>
        <w:ind w:left="360"/>
        <w:jc w:val="both"/>
        <w:rPr>
          <w:rFonts w:ascii="Arial" w:hAnsi="Arial" w:cs="Arial"/>
          <w:sz w:val="24"/>
          <w:szCs w:val="24"/>
        </w:rPr>
      </w:pPr>
      <w:r w:rsidRPr="0051280F">
        <w:rPr>
          <w:rFonts w:ascii="Arial" w:hAnsi="Arial" w:cs="Arial"/>
          <w:sz w:val="24"/>
          <w:szCs w:val="24"/>
        </w:rPr>
        <w:t>La presunción de culpa de los administradores.</w:t>
      </w:r>
    </w:p>
    <w:p w:rsidR="0051280F" w:rsidRDefault="00860DE1" w:rsidP="002A6A8D">
      <w:pPr>
        <w:pStyle w:val="Prrafodelista"/>
        <w:numPr>
          <w:ilvl w:val="0"/>
          <w:numId w:val="1"/>
        </w:numPr>
        <w:spacing w:line="360" w:lineRule="auto"/>
        <w:jc w:val="both"/>
        <w:rPr>
          <w:rFonts w:ascii="Arial" w:hAnsi="Arial" w:cs="Arial"/>
          <w:sz w:val="24"/>
          <w:szCs w:val="24"/>
        </w:rPr>
      </w:pPr>
      <w:r w:rsidRPr="002A6A8D">
        <w:rPr>
          <w:rFonts w:ascii="Arial" w:hAnsi="Arial" w:cs="Arial"/>
          <w:sz w:val="24"/>
          <w:szCs w:val="24"/>
        </w:rPr>
        <w:t>AUTOR</w:t>
      </w:r>
      <w:r w:rsidR="00911BC8" w:rsidRPr="002A6A8D">
        <w:rPr>
          <w:rFonts w:ascii="Arial" w:hAnsi="Arial" w:cs="Arial"/>
          <w:sz w:val="24"/>
          <w:szCs w:val="24"/>
        </w:rPr>
        <w:t xml:space="preserve"> </w:t>
      </w:r>
    </w:p>
    <w:p w:rsidR="00911BC8" w:rsidRPr="0051280F" w:rsidRDefault="008943EE" w:rsidP="0051280F">
      <w:pPr>
        <w:spacing w:line="360" w:lineRule="auto"/>
        <w:ind w:left="360"/>
        <w:jc w:val="both"/>
        <w:rPr>
          <w:rFonts w:ascii="Arial" w:hAnsi="Arial" w:cs="Arial"/>
          <w:sz w:val="24"/>
          <w:szCs w:val="24"/>
        </w:rPr>
      </w:pPr>
      <w:r w:rsidRPr="0051280F">
        <w:rPr>
          <w:rFonts w:ascii="Arial" w:hAnsi="Arial" w:cs="Arial"/>
          <w:sz w:val="24"/>
          <w:szCs w:val="24"/>
        </w:rPr>
        <w:t xml:space="preserve">Mina </w:t>
      </w:r>
      <w:r w:rsidR="00AC205D" w:rsidRPr="0051280F">
        <w:rPr>
          <w:rFonts w:ascii="Arial" w:hAnsi="Arial" w:cs="Arial"/>
          <w:sz w:val="24"/>
          <w:szCs w:val="24"/>
        </w:rPr>
        <w:t xml:space="preserve">Johana </w:t>
      </w:r>
      <w:r w:rsidRPr="0051280F">
        <w:rPr>
          <w:rFonts w:ascii="Arial" w:hAnsi="Arial" w:cs="Arial"/>
          <w:sz w:val="24"/>
          <w:szCs w:val="24"/>
        </w:rPr>
        <w:t>Quiroga Cañas.</w:t>
      </w:r>
    </w:p>
    <w:p w:rsidR="0051280F" w:rsidRDefault="00860DE1" w:rsidP="002A6A8D">
      <w:pPr>
        <w:pStyle w:val="Prrafodelista"/>
        <w:numPr>
          <w:ilvl w:val="0"/>
          <w:numId w:val="1"/>
        </w:numPr>
        <w:spacing w:line="360" w:lineRule="auto"/>
        <w:jc w:val="both"/>
        <w:rPr>
          <w:rFonts w:ascii="Arial" w:hAnsi="Arial" w:cs="Arial"/>
          <w:sz w:val="24"/>
          <w:szCs w:val="24"/>
        </w:rPr>
      </w:pPr>
      <w:r w:rsidRPr="002A6A8D">
        <w:rPr>
          <w:rFonts w:ascii="Arial" w:hAnsi="Arial" w:cs="Arial"/>
          <w:sz w:val="24"/>
          <w:szCs w:val="24"/>
        </w:rPr>
        <w:t>ASESOR</w:t>
      </w:r>
      <w:r w:rsidR="00911BC8" w:rsidRPr="002A6A8D">
        <w:rPr>
          <w:rFonts w:ascii="Arial" w:hAnsi="Arial" w:cs="Arial"/>
          <w:sz w:val="24"/>
          <w:szCs w:val="24"/>
        </w:rPr>
        <w:t xml:space="preserve"> </w:t>
      </w:r>
    </w:p>
    <w:p w:rsidR="00911BC8" w:rsidRPr="0051280F" w:rsidRDefault="008943EE" w:rsidP="0051280F">
      <w:pPr>
        <w:spacing w:line="360" w:lineRule="auto"/>
        <w:ind w:left="360"/>
        <w:jc w:val="both"/>
        <w:rPr>
          <w:rFonts w:ascii="Arial" w:hAnsi="Arial" w:cs="Arial"/>
          <w:sz w:val="24"/>
          <w:szCs w:val="24"/>
        </w:rPr>
      </w:pPr>
      <w:r w:rsidRPr="0051280F">
        <w:rPr>
          <w:rFonts w:ascii="Arial" w:hAnsi="Arial" w:cs="Arial"/>
          <w:sz w:val="24"/>
          <w:szCs w:val="24"/>
        </w:rPr>
        <w:t>No aplica.</w:t>
      </w:r>
    </w:p>
    <w:p w:rsidR="0051280F" w:rsidRDefault="00860DE1" w:rsidP="002A6A8D">
      <w:pPr>
        <w:pStyle w:val="Prrafodelista"/>
        <w:numPr>
          <w:ilvl w:val="0"/>
          <w:numId w:val="1"/>
        </w:numPr>
        <w:spacing w:line="360" w:lineRule="auto"/>
        <w:jc w:val="both"/>
        <w:rPr>
          <w:rFonts w:ascii="Arial" w:hAnsi="Arial" w:cs="Arial"/>
          <w:sz w:val="24"/>
          <w:szCs w:val="24"/>
        </w:rPr>
      </w:pPr>
      <w:r w:rsidRPr="002A6A8D">
        <w:rPr>
          <w:rFonts w:ascii="Arial" w:hAnsi="Arial" w:cs="Arial"/>
          <w:sz w:val="24"/>
          <w:szCs w:val="24"/>
        </w:rPr>
        <w:t>ESPECIALIZACIÓN</w:t>
      </w:r>
    </w:p>
    <w:p w:rsidR="00911BC8" w:rsidRPr="0051280F" w:rsidRDefault="00860DE1" w:rsidP="0051280F">
      <w:pPr>
        <w:spacing w:line="360" w:lineRule="auto"/>
        <w:ind w:left="360"/>
        <w:jc w:val="both"/>
        <w:rPr>
          <w:rFonts w:ascii="Arial" w:hAnsi="Arial" w:cs="Arial"/>
          <w:sz w:val="24"/>
          <w:szCs w:val="24"/>
        </w:rPr>
      </w:pPr>
      <w:r w:rsidRPr="0051280F">
        <w:rPr>
          <w:rFonts w:ascii="Arial" w:hAnsi="Arial" w:cs="Arial"/>
          <w:sz w:val="24"/>
          <w:szCs w:val="24"/>
        </w:rPr>
        <w:t xml:space="preserve">Especialización en </w:t>
      </w:r>
      <w:r w:rsidR="008943EE" w:rsidRPr="0051280F">
        <w:rPr>
          <w:rFonts w:ascii="Arial" w:hAnsi="Arial" w:cs="Arial"/>
          <w:sz w:val="24"/>
          <w:szCs w:val="24"/>
        </w:rPr>
        <w:t>Derecho Comercial.</w:t>
      </w:r>
    </w:p>
    <w:p w:rsidR="0051280F" w:rsidRDefault="00860DE1" w:rsidP="002A6A8D">
      <w:pPr>
        <w:pStyle w:val="Prrafodelista"/>
        <w:numPr>
          <w:ilvl w:val="0"/>
          <w:numId w:val="1"/>
        </w:numPr>
        <w:spacing w:line="360" w:lineRule="auto"/>
        <w:jc w:val="both"/>
        <w:rPr>
          <w:rFonts w:ascii="Arial" w:hAnsi="Arial" w:cs="Arial"/>
          <w:sz w:val="24"/>
          <w:szCs w:val="24"/>
        </w:rPr>
      </w:pPr>
      <w:r w:rsidRPr="002A6A8D">
        <w:rPr>
          <w:rFonts w:ascii="Arial" w:hAnsi="Arial" w:cs="Arial"/>
          <w:sz w:val="24"/>
          <w:szCs w:val="24"/>
        </w:rPr>
        <w:t>PALABRAS CLAVES</w:t>
      </w:r>
    </w:p>
    <w:p w:rsidR="00FB2ED6" w:rsidRPr="0051280F" w:rsidRDefault="00FB2ED6" w:rsidP="0051280F">
      <w:pPr>
        <w:spacing w:line="360" w:lineRule="auto"/>
        <w:ind w:left="360"/>
        <w:jc w:val="both"/>
        <w:rPr>
          <w:rFonts w:ascii="Arial" w:hAnsi="Arial" w:cs="Arial"/>
          <w:sz w:val="24"/>
          <w:szCs w:val="24"/>
        </w:rPr>
      </w:pPr>
      <w:r w:rsidRPr="0051280F">
        <w:rPr>
          <w:rFonts w:ascii="Arial" w:hAnsi="Arial" w:cs="Arial"/>
          <w:sz w:val="24"/>
          <w:szCs w:val="24"/>
        </w:rPr>
        <w:t xml:space="preserve">Administradores, </w:t>
      </w:r>
      <w:r w:rsidR="008943EE" w:rsidRPr="0051280F">
        <w:rPr>
          <w:rFonts w:ascii="Arial" w:hAnsi="Arial" w:cs="Arial"/>
          <w:sz w:val="24"/>
          <w:szCs w:val="24"/>
        </w:rPr>
        <w:t xml:space="preserve">culpa, </w:t>
      </w:r>
      <w:r w:rsidRPr="0051280F">
        <w:rPr>
          <w:rFonts w:ascii="Arial" w:hAnsi="Arial" w:cs="Arial"/>
          <w:sz w:val="24"/>
          <w:szCs w:val="24"/>
        </w:rPr>
        <w:t>daño, estatutos, medio, objetiva, obligaciones, presunción</w:t>
      </w:r>
      <w:r w:rsidR="008943EE" w:rsidRPr="0051280F">
        <w:rPr>
          <w:rFonts w:ascii="Arial" w:hAnsi="Arial" w:cs="Arial"/>
          <w:sz w:val="24"/>
          <w:szCs w:val="24"/>
        </w:rPr>
        <w:t>,</w:t>
      </w:r>
      <w:r w:rsidRPr="0051280F">
        <w:rPr>
          <w:rFonts w:ascii="Arial" w:hAnsi="Arial" w:cs="Arial"/>
          <w:sz w:val="24"/>
          <w:szCs w:val="24"/>
        </w:rPr>
        <w:t xml:space="preserve"> responsabilidad, resultado.  </w:t>
      </w:r>
    </w:p>
    <w:p w:rsidR="0051280F" w:rsidRDefault="00860DE1" w:rsidP="002A6A8D">
      <w:pPr>
        <w:pStyle w:val="Prrafodelista"/>
        <w:numPr>
          <w:ilvl w:val="0"/>
          <w:numId w:val="1"/>
        </w:numPr>
        <w:spacing w:line="360" w:lineRule="auto"/>
        <w:jc w:val="both"/>
        <w:rPr>
          <w:rFonts w:ascii="Arial" w:hAnsi="Arial" w:cs="Arial"/>
          <w:sz w:val="24"/>
          <w:szCs w:val="24"/>
        </w:rPr>
      </w:pPr>
      <w:r w:rsidRPr="002A6A8D">
        <w:rPr>
          <w:rFonts w:ascii="Arial" w:hAnsi="Arial" w:cs="Arial"/>
          <w:sz w:val="24"/>
          <w:szCs w:val="24"/>
        </w:rPr>
        <w:t>RESUMEN</w:t>
      </w:r>
    </w:p>
    <w:p w:rsidR="00513823" w:rsidRPr="0051280F" w:rsidRDefault="002A6A8D" w:rsidP="0051280F">
      <w:pPr>
        <w:spacing w:line="360" w:lineRule="auto"/>
        <w:ind w:left="360"/>
        <w:jc w:val="both"/>
        <w:rPr>
          <w:rFonts w:ascii="Arial" w:hAnsi="Arial" w:cs="Arial"/>
          <w:sz w:val="24"/>
          <w:szCs w:val="24"/>
        </w:rPr>
      </w:pPr>
      <w:r w:rsidRPr="0051280F">
        <w:rPr>
          <w:rFonts w:ascii="Arial" w:hAnsi="Arial" w:cs="Arial"/>
          <w:sz w:val="24"/>
          <w:szCs w:val="24"/>
        </w:rPr>
        <w:t xml:space="preserve">La presunción de culpa de los administradores establecida en el artículo 24 de la Ley 222 de 1995, lejos de ser una regla general de aplicación para todos los casos, es una </w:t>
      </w:r>
      <w:r w:rsidRPr="0051280F">
        <w:rPr>
          <w:rFonts w:ascii="Arial" w:hAnsi="Arial" w:cs="Arial"/>
          <w:sz w:val="24"/>
          <w:szCs w:val="24"/>
        </w:rPr>
        <w:lastRenderedPageBreak/>
        <w:t>disposición con alcance limitado a ciertas hipótesis. La primera gran excepción la encontramos en los supuestos de responsabilidad de los administradores respecto de terceros, donde la norma no resulta aplicable, mientras que la segunda excepción viene constituida por las obligaciones de resultado a que el administrador este comprometido respecto de la sociedad. Durante el ensayo se expondrá el régimen aplicable a cada caso y se pondrá de manifiesto el carácter residual de la norma objeto de estudio.</w:t>
      </w:r>
    </w:p>
    <w:p w:rsidR="0051280F" w:rsidRDefault="00860DE1" w:rsidP="002A6A8D">
      <w:pPr>
        <w:pStyle w:val="Prrafodelista"/>
        <w:numPr>
          <w:ilvl w:val="0"/>
          <w:numId w:val="1"/>
        </w:numPr>
        <w:spacing w:line="360" w:lineRule="auto"/>
        <w:jc w:val="both"/>
        <w:rPr>
          <w:rFonts w:ascii="Arial" w:hAnsi="Arial" w:cs="Arial"/>
          <w:sz w:val="24"/>
          <w:szCs w:val="24"/>
          <w:lang w:val="en-US"/>
        </w:rPr>
      </w:pPr>
      <w:r w:rsidRPr="002A6A8D">
        <w:rPr>
          <w:rFonts w:ascii="Arial" w:hAnsi="Arial" w:cs="Arial"/>
          <w:sz w:val="24"/>
          <w:szCs w:val="24"/>
          <w:lang w:val="en-US"/>
        </w:rPr>
        <w:t>ABSTRAC</w:t>
      </w:r>
    </w:p>
    <w:p w:rsidR="002A6A8D" w:rsidRPr="0051280F" w:rsidRDefault="002A6A8D" w:rsidP="0051280F">
      <w:pPr>
        <w:spacing w:line="360" w:lineRule="auto"/>
        <w:ind w:left="360"/>
        <w:jc w:val="both"/>
        <w:rPr>
          <w:rFonts w:ascii="Arial" w:hAnsi="Arial" w:cs="Arial"/>
          <w:sz w:val="24"/>
          <w:szCs w:val="24"/>
          <w:lang w:val="en-US"/>
        </w:rPr>
      </w:pPr>
      <w:r w:rsidRPr="0051280F">
        <w:rPr>
          <w:rFonts w:ascii="Arial" w:hAnsi="Arial" w:cs="Arial"/>
          <w:sz w:val="24"/>
          <w:szCs w:val="24"/>
          <w:lang w:val="en-US"/>
        </w:rPr>
        <w:t xml:space="preserve">The presumption of guilt-administrators established in the Art. 24- Act 222 of 1995 beyond to be a general rule of application to all legal acts, it is a regulation which manages to catch a bit limited hypothesis. The first exception was found on the supposed responsibilities of the administrators toward other people getting involved, where the rule is not applicable.  The second exception is set up with the result in respect to the fulfilment of administrator obligations with regard to the society.  The applicable regime </w:t>
      </w:r>
      <w:r w:rsidRPr="0051280F">
        <w:rPr>
          <w:rFonts w:ascii="Arial" w:hAnsi="Arial" w:cs="Arial"/>
          <w:sz w:val="24"/>
          <w:szCs w:val="24"/>
          <w:lang w:val="en-US"/>
        </w:rPr>
        <w:lastRenderedPageBreak/>
        <w:t>of this subject will be put forward to each case and the residual character of the rule above mentioned will be highlighted during the essay.</w:t>
      </w:r>
    </w:p>
    <w:p w:rsidR="00513823" w:rsidRPr="002A6A8D" w:rsidRDefault="00513823" w:rsidP="002A6A8D">
      <w:pPr>
        <w:spacing w:line="360" w:lineRule="auto"/>
        <w:jc w:val="both"/>
        <w:rPr>
          <w:rFonts w:ascii="Arial" w:hAnsi="Arial" w:cs="Arial"/>
          <w:sz w:val="24"/>
          <w:szCs w:val="24"/>
          <w:lang w:val="en-US"/>
        </w:rPr>
      </w:pPr>
    </w:p>
    <w:p w:rsidR="00911BC8" w:rsidRPr="002A6A8D" w:rsidRDefault="00911BC8" w:rsidP="002A6A8D">
      <w:pPr>
        <w:spacing w:line="360" w:lineRule="auto"/>
        <w:jc w:val="both"/>
        <w:rPr>
          <w:rFonts w:ascii="Arial" w:hAnsi="Arial" w:cs="Arial"/>
          <w:sz w:val="24"/>
          <w:szCs w:val="24"/>
          <w:lang w:val="en-US"/>
        </w:rPr>
      </w:pPr>
    </w:p>
    <w:p w:rsidR="00911BC8" w:rsidRPr="002A6A8D" w:rsidRDefault="00911BC8" w:rsidP="002A6A8D">
      <w:pPr>
        <w:spacing w:line="360" w:lineRule="auto"/>
        <w:jc w:val="both"/>
        <w:rPr>
          <w:rFonts w:ascii="Arial" w:hAnsi="Arial" w:cs="Arial"/>
          <w:sz w:val="24"/>
          <w:szCs w:val="24"/>
          <w:lang w:val="en-US"/>
        </w:rPr>
      </w:pPr>
    </w:p>
    <w:p w:rsidR="005C5031" w:rsidRPr="002A6A8D" w:rsidRDefault="005C5031" w:rsidP="002A6A8D">
      <w:pPr>
        <w:spacing w:line="360" w:lineRule="auto"/>
        <w:rPr>
          <w:rFonts w:ascii="Arial" w:hAnsi="Arial" w:cs="Arial"/>
          <w:sz w:val="24"/>
          <w:szCs w:val="24"/>
          <w:lang w:val="en-US"/>
        </w:rPr>
      </w:pPr>
    </w:p>
    <w:sectPr w:rsidR="005C5031" w:rsidRPr="002A6A8D" w:rsidSect="00860DE1">
      <w:pgSz w:w="12240" w:h="15840"/>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1057"/>
    <w:multiLevelType w:val="hybridMultilevel"/>
    <w:tmpl w:val="68B8D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C8"/>
    <w:rsid w:val="00173129"/>
    <w:rsid w:val="001A2A7A"/>
    <w:rsid w:val="00252A01"/>
    <w:rsid w:val="002A6A8D"/>
    <w:rsid w:val="0051280F"/>
    <w:rsid w:val="00513823"/>
    <w:rsid w:val="005C5031"/>
    <w:rsid w:val="006558A4"/>
    <w:rsid w:val="007D6606"/>
    <w:rsid w:val="0085213D"/>
    <w:rsid w:val="00860DE1"/>
    <w:rsid w:val="008943EE"/>
    <w:rsid w:val="00911BC8"/>
    <w:rsid w:val="00A81CEA"/>
    <w:rsid w:val="00AC205D"/>
    <w:rsid w:val="00C265DB"/>
    <w:rsid w:val="00EE231E"/>
    <w:rsid w:val="00FB2ED6"/>
    <w:rsid w:val="00FB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7A159-85A0-4399-9398-254E74AF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SHARLY</dc:creator>
  <cp:lastModifiedBy>Generico Pat Biblioteca</cp:lastModifiedBy>
  <cp:revision>2</cp:revision>
  <dcterms:created xsi:type="dcterms:W3CDTF">2017-12-11T20:42:00Z</dcterms:created>
  <dcterms:modified xsi:type="dcterms:W3CDTF">2017-12-11T20:42:00Z</dcterms:modified>
</cp:coreProperties>
</file>