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720" w:rsidRPr="00FF1720" w:rsidRDefault="00FF1720" w:rsidP="00FF1720">
      <w:pPr>
        <w:jc w:val="both"/>
        <w:rPr>
          <w:rFonts w:ascii="Arial" w:hAnsi="Arial" w:cs="Arial"/>
          <w:b/>
          <w:sz w:val="20"/>
          <w:szCs w:val="20"/>
        </w:rPr>
      </w:pPr>
      <w:bookmarkStart w:id="0" w:name="_GoBack"/>
      <w:bookmarkEnd w:id="0"/>
      <w:r w:rsidRPr="00FF1720">
        <w:rPr>
          <w:rFonts w:ascii="Arial" w:hAnsi="Arial" w:cs="Arial"/>
          <w:b/>
          <w:sz w:val="20"/>
          <w:szCs w:val="20"/>
        </w:rPr>
        <w:t>INFORMACION ADICIONAL</w:t>
      </w:r>
    </w:p>
    <w:p w:rsidR="00FF1720" w:rsidRDefault="00FF1720" w:rsidP="00FF1720">
      <w:pPr>
        <w:jc w:val="both"/>
        <w:rPr>
          <w:rFonts w:ascii="Arial" w:hAnsi="Arial" w:cs="Arial"/>
          <w:sz w:val="20"/>
          <w:szCs w:val="20"/>
        </w:rPr>
      </w:pPr>
    </w:p>
    <w:p w:rsidR="00FF1720" w:rsidRPr="002527D1" w:rsidRDefault="00FF1720" w:rsidP="002527D1">
      <w:pPr>
        <w:pStyle w:val="Prrafodelista"/>
        <w:numPr>
          <w:ilvl w:val="0"/>
          <w:numId w:val="2"/>
        </w:numPr>
        <w:ind w:left="426" w:hanging="426"/>
        <w:jc w:val="both"/>
        <w:rPr>
          <w:rFonts w:ascii="Arial" w:hAnsi="Arial" w:cs="Arial"/>
          <w:b/>
          <w:sz w:val="20"/>
          <w:szCs w:val="20"/>
        </w:rPr>
      </w:pPr>
      <w:r w:rsidRPr="002527D1">
        <w:rPr>
          <w:rFonts w:ascii="Arial" w:hAnsi="Arial" w:cs="Arial"/>
          <w:b/>
          <w:sz w:val="20"/>
          <w:szCs w:val="20"/>
        </w:rPr>
        <w:t>Título completo del trabajo de grado</w:t>
      </w:r>
    </w:p>
    <w:p w:rsidR="00FF1720" w:rsidRPr="004B5BCD" w:rsidRDefault="00FF1720" w:rsidP="002527D1">
      <w:pPr>
        <w:spacing w:line="360" w:lineRule="auto"/>
        <w:ind w:firstLine="426"/>
        <w:rPr>
          <w:rFonts w:ascii="Arial" w:hAnsi="Arial" w:cs="Arial"/>
          <w:sz w:val="20"/>
          <w:szCs w:val="20"/>
        </w:rPr>
      </w:pPr>
      <w:r w:rsidRPr="004B5BCD">
        <w:rPr>
          <w:rFonts w:ascii="Arial" w:hAnsi="Arial" w:cs="Arial"/>
          <w:sz w:val="20"/>
          <w:szCs w:val="20"/>
        </w:rPr>
        <w:t>“DESVENTAJAS DEL TRATAMIENTO TRIBUTARIO DE LOS TÍTULOS AL DESCUENTO”</w:t>
      </w:r>
    </w:p>
    <w:p w:rsidR="00FF1720" w:rsidRPr="002527D1" w:rsidRDefault="00FF1720" w:rsidP="002527D1">
      <w:pPr>
        <w:pStyle w:val="Prrafodelista"/>
        <w:numPr>
          <w:ilvl w:val="0"/>
          <w:numId w:val="2"/>
        </w:numPr>
        <w:ind w:left="426" w:hanging="426"/>
        <w:jc w:val="both"/>
        <w:rPr>
          <w:rFonts w:ascii="Arial" w:hAnsi="Arial" w:cs="Arial"/>
          <w:b/>
          <w:sz w:val="20"/>
          <w:szCs w:val="20"/>
        </w:rPr>
      </w:pPr>
      <w:r w:rsidRPr="002527D1">
        <w:rPr>
          <w:rFonts w:ascii="Arial" w:hAnsi="Arial" w:cs="Arial"/>
          <w:b/>
          <w:sz w:val="20"/>
          <w:szCs w:val="20"/>
        </w:rPr>
        <w:t>Nombres completos de los autores</w:t>
      </w:r>
    </w:p>
    <w:p w:rsidR="00FF1720" w:rsidRPr="004B5BCD" w:rsidRDefault="002527D1" w:rsidP="002527D1">
      <w:pPr>
        <w:spacing w:line="360" w:lineRule="auto"/>
        <w:ind w:firstLine="426"/>
        <w:rPr>
          <w:rFonts w:ascii="Arial" w:hAnsi="Arial" w:cs="Arial"/>
          <w:sz w:val="20"/>
          <w:szCs w:val="20"/>
        </w:rPr>
      </w:pPr>
      <w:r>
        <w:rPr>
          <w:rFonts w:ascii="Arial" w:hAnsi="Arial" w:cs="Arial"/>
          <w:sz w:val="20"/>
          <w:szCs w:val="20"/>
        </w:rPr>
        <w:t>Claudia Marcela Martínez Gómez</w:t>
      </w:r>
    </w:p>
    <w:p w:rsidR="00FF1720" w:rsidRPr="004B5BCD" w:rsidRDefault="002527D1" w:rsidP="002527D1">
      <w:pPr>
        <w:spacing w:line="360" w:lineRule="auto"/>
        <w:ind w:firstLine="426"/>
        <w:rPr>
          <w:rFonts w:ascii="Arial" w:hAnsi="Arial" w:cs="Arial"/>
          <w:sz w:val="20"/>
          <w:szCs w:val="20"/>
        </w:rPr>
      </w:pPr>
      <w:r>
        <w:rPr>
          <w:rFonts w:ascii="Arial" w:hAnsi="Arial" w:cs="Arial"/>
          <w:sz w:val="20"/>
          <w:szCs w:val="20"/>
        </w:rPr>
        <w:t>Juan David Bonilla Cháves</w:t>
      </w:r>
    </w:p>
    <w:p w:rsidR="00FF1720" w:rsidRPr="002527D1" w:rsidRDefault="00FF1720" w:rsidP="002527D1">
      <w:pPr>
        <w:pStyle w:val="Prrafodelista"/>
        <w:numPr>
          <w:ilvl w:val="0"/>
          <w:numId w:val="2"/>
        </w:numPr>
        <w:ind w:left="426" w:hanging="426"/>
        <w:jc w:val="both"/>
        <w:rPr>
          <w:rFonts w:ascii="Arial" w:hAnsi="Arial" w:cs="Arial"/>
          <w:b/>
          <w:sz w:val="20"/>
          <w:szCs w:val="20"/>
        </w:rPr>
      </w:pPr>
      <w:r w:rsidRPr="002527D1">
        <w:rPr>
          <w:rFonts w:ascii="Arial" w:hAnsi="Arial" w:cs="Arial"/>
          <w:b/>
          <w:sz w:val="20"/>
          <w:szCs w:val="20"/>
        </w:rPr>
        <w:t>Nombre completo del asesor</w:t>
      </w:r>
    </w:p>
    <w:p w:rsidR="00FF1720" w:rsidRPr="004B5BCD" w:rsidRDefault="002527D1" w:rsidP="002527D1">
      <w:pPr>
        <w:spacing w:line="360" w:lineRule="auto"/>
        <w:ind w:firstLine="426"/>
        <w:rPr>
          <w:rFonts w:ascii="Arial" w:hAnsi="Arial" w:cs="Arial"/>
          <w:sz w:val="20"/>
          <w:szCs w:val="20"/>
        </w:rPr>
      </w:pPr>
      <w:r>
        <w:rPr>
          <w:rFonts w:ascii="Arial" w:hAnsi="Arial" w:cs="Arial"/>
          <w:sz w:val="20"/>
          <w:szCs w:val="20"/>
        </w:rPr>
        <w:t>Martín Echeverry</w:t>
      </w:r>
    </w:p>
    <w:p w:rsidR="00FF1720" w:rsidRPr="002527D1" w:rsidRDefault="00FF1720" w:rsidP="002527D1">
      <w:pPr>
        <w:pStyle w:val="Prrafodelista"/>
        <w:numPr>
          <w:ilvl w:val="0"/>
          <w:numId w:val="2"/>
        </w:numPr>
        <w:ind w:left="426" w:hanging="426"/>
        <w:jc w:val="both"/>
        <w:rPr>
          <w:rFonts w:ascii="Arial" w:hAnsi="Arial" w:cs="Arial"/>
          <w:b/>
          <w:sz w:val="20"/>
          <w:szCs w:val="20"/>
        </w:rPr>
      </w:pPr>
      <w:r w:rsidRPr="002527D1">
        <w:rPr>
          <w:rFonts w:ascii="Arial" w:hAnsi="Arial" w:cs="Arial"/>
          <w:b/>
          <w:sz w:val="20"/>
          <w:szCs w:val="20"/>
        </w:rPr>
        <w:t>Nombre de la especialización</w:t>
      </w:r>
    </w:p>
    <w:p w:rsidR="00FF1720" w:rsidRPr="004B5BCD" w:rsidRDefault="002527D1" w:rsidP="002527D1">
      <w:pPr>
        <w:pStyle w:val="Sinespaciado"/>
        <w:ind w:firstLine="426"/>
        <w:jc w:val="both"/>
        <w:rPr>
          <w:rFonts w:ascii="Arial" w:hAnsi="Arial" w:cs="Arial"/>
          <w:sz w:val="20"/>
          <w:szCs w:val="20"/>
        </w:rPr>
      </w:pPr>
      <w:r>
        <w:rPr>
          <w:rFonts w:ascii="Arial" w:hAnsi="Arial" w:cs="Arial"/>
          <w:sz w:val="20"/>
          <w:szCs w:val="20"/>
        </w:rPr>
        <w:t>Especialización en Finanzas y Mercado de Capitales</w:t>
      </w:r>
    </w:p>
    <w:p w:rsidR="00FF1720" w:rsidRDefault="00FF1720" w:rsidP="00FF1720">
      <w:pPr>
        <w:jc w:val="both"/>
        <w:rPr>
          <w:rFonts w:ascii="Arial" w:hAnsi="Arial" w:cs="Arial"/>
          <w:sz w:val="20"/>
          <w:szCs w:val="20"/>
        </w:rPr>
      </w:pPr>
    </w:p>
    <w:p w:rsidR="00FF1720" w:rsidRPr="002527D1" w:rsidRDefault="00FF1720" w:rsidP="002527D1">
      <w:pPr>
        <w:pStyle w:val="Prrafodelista"/>
        <w:numPr>
          <w:ilvl w:val="0"/>
          <w:numId w:val="2"/>
        </w:numPr>
        <w:ind w:left="426" w:hanging="426"/>
        <w:jc w:val="both"/>
        <w:rPr>
          <w:rFonts w:ascii="Arial" w:hAnsi="Arial" w:cs="Arial"/>
          <w:b/>
          <w:sz w:val="20"/>
          <w:szCs w:val="20"/>
        </w:rPr>
      </w:pPr>
      <w:r w:rsidRPr="002527D1">
        <w:rPr>
          <w:rFonts w:ascii="Arial" w:hAnsi="Arial" w:cs="Arial"/>
          <w:b/>
          <w:sz w:val="20"/>
          <w:szCs w:val="20"/>
        </w:rPr>
        <w:t>Listado de 10 palabras clave (sin significado, no oraciones)</w:t>
      </w:r>
    </w:p>
    <w:p w:rsidR="00FF1720" w:rsidRDefault="00FF1720" w:rsidP="00FF1720">
      <w:pPr>
        <w:pStyle w:val="Prrafodelista"/>
        <w:numPr>
          <w:ilvl w:val="1"/>
          <w:numId w:val="1"/>
        </w:numPr>
        <w:spacing w:line="360" w:lineRule="auto"/>
        <w:jc w:val="both"/>
        <w:rPr>
          <w:rFonts w:ascii="Arial" w:hAnsi="Arial" w:cs="Arial"/>
          <w:sz w:val="20"/>
          <w:szCs w:val="20"/>
        </w:rPr>
      </w:pPr>
      <w:r w:rsidRPr="00C363D1">
        <w:rPr>
          <w:rFonts w:ascii="Arial" w:hAnsi="Arial" w:cs="Arial"/>
          <w:sz w:val="20"/>
          <w:szCs w:val="20"/>
        </w:rPr>
        <w:t xml:space="preserve">Retención </w:t>
      </w:r>
    </w:p>
    <w:p w:rsidR="002527D1" w:rsidRDefault="002527D1" w:rsidP="00FF1720">
      <w:pPr>
        <w:pStyle w:val="Prrafodelista"/>
        <w:numPr>
          <w:ilvl w:val="1"/>
          <w:numId w:val="1"/>
        </w:numPr>
        <w:spacing w:line="360" w:lineRule="auto"/>
        <w:jc w:val="both"/>
        <w:rPr>
          <w:rFonts w:ascii="Arial" w:hAnsi="Arial" w:cs="Arial"/>
          <w:sz w:val="20"/>
          <w:szCs w:val="20"/>
        </w:rPr>
      </w:pPr>
      <w:r>
        <w:rPr>
          <w:rFonts w:ascii="Arial" w:hAnsi="Arial" w:cs="Arial"/>
          <w:sz w:val="20"/>
          <w:szCs w:val="20"/>
        </w:rPr>
        <w:t>Fuente</w:t>
      </w:r>
    </w:p>
    <w:p w:rsidR="00FF1720" w:rsidRPr="00C363D1" w:rsidRDefault="00FF1720" w:rsidP="00FF1720">
      <w:pPr>
        <w:pStyle w:val="Prrafodelista"/>
        <w:numPr>
          <w:ilvl w:val="1"/>
          <w:numId w:val="1"/>
        </w:numPr>
        <w:spacing w:line="360" w:lineRule="auto"/>
        <w:jc w:val="both"/>
        <w:rPr>
          <w:rFonts w:ascii="Arial" w:hAnsi="Arial" w:cs="Arial"/>
          <w:sz w:val="20"/>
          <w:szCs w:val="20"/>
        </w:rPr>
      </w:pPr>
      <w:r w:rsidRPr="00C363D1">
        <w:rPr>
          <w:rFonts w:ascii="Arial" w:hAnsi="Arial" w:cs="Arial"/>
          <w:sz w:val="20"/>
          <w:szCs w:val="20"/>
        </w:rPr>
        <w:t>Títulos</w:t>
      </w:r>
    </w:p>
    <w:p w:rsidR="00FF1720" w:rsidRPr="004B5BCD" w:rsidRDefault="00FF1720" w:rsidP="00FF1720">
      <w:pPr>
        <w:pStyle w:val="Prrafodelista"/>
        <w:numPr>
          <w:ilvl w:val="1"/>
          <w:numId w:val="1"/>
        </w:numPr>
        <w:spacing w:line="360" w:lineRule="auto"/>
        <w:jc w:val="both"/>
        <w:rPr>
          <w:rFonts w:ascii="Arial" w:hAnsi="Arial" w:cs="Arial"/>
          <w:sz w:val="20"/>
          <w:szCs w:val="20"/>
        </w:rPr>
      </w:pPr>
      <w:r w:rsidRPr="004B5BCD">
        <w:rPr>
          <w:rFonts w:ascii="Arial" w:hAnsi="Arial" w:cs="Arial"/>
          <w:sz w:val="20"/>
          <w:szCs w:val="20"/>
        </w:rPr>
        <w:t>Descuento</w:t>
      </w:r>
    </w:p>
    <w:p w:rsidR="00FF1720" w:rsidRDefault="00FF1720" w:rsidP="00FF1720">
      <w:pPr>
        <w:pStyle w:val="Prrafodelista"/>
        <w:numPr>
          <w:ilvl w:val="1"/>
          <w:numId w:val="1"/>
        </w:numPr>
        <w:spacing w:line="360" w:lineRule="auto"/>
        <w:jc w:val="both"/>
        <w:rPr>
          <w:rFonts w:ascii="Arial" w:hAnsi="Arial" w:cs="Arial"/>
          <w:sz w:val="20"/>
          <w:szCs w:val="20"/>
        </w:rPr>
      </w:pPr>
      <w:r w:rsidRPr="004B5BCD">
        <w:rPr>
          <w:rFonts w:ascii="Arial" w:hAnsi="Arial" w:cs="Arial"/>
          <w:sz w:val="20"/>
          <w:szCs w:val="20"/>
        </w:rPr>
        <w:t>Vencidos</w:t>
      </w:r>
    </w:p>
    <w:p w:rsidR="00FF1720" w:rsidRDefault="00FF1720" w:rsidP="00FF1720">
      <w:pPr>
        <w:pStyle w:val="Prrafodelista"/>
        <w:numPr>
          <w:ilvl w:val="1"/>
          <w:numId w:val="1"/>
        </w:numPr>
        <w:spacing w:line="360" w:lineRule="auto"/>
        <w:jc w:val="both"/>
        <w:rPr>
          <w:rFonts w:ascii="Arial" w:hAnsi="Arial" w:cs="Arial"/>
          <w:sz w:val="20"/>
          <w:szCs w:val="20"/>
        </w:rPr>
      </w:pPr>
      <w:r>
        <w:rPr>
          <w:rFonts w:ascii="Arial" w:hAnsi="Arial" w:cs="Arial"/>
          <w:sz w:val="20"/>
          <w:szCs w:val="20"/>
        </w:rPr>
        <w:t>Impuesto</w:t>
      </w:r>
    </w:p>
    <w:p w:rsidR="002527D1" w:rsidRDefault="002527D1" w:rsidP="00FF1720">
      <w:pPr>
        <w:pStyle w:val="Prrafodelista"/>
        <w:numPr>
          <w:ilvl w:val="1"/>
          <w:numId w:val="1"/>
        </w:numPr>
        <w:spacing w:line="360" w:lineRule="auto"/>
        <w:jc w:val="both"/>
        <w:rPr>
          <w:rFonts w:ascii="Arial" w:hAnsi="Arial" w:cs="Arial"/>
          <w:sz w:val="20"/>
          <w:szCs w:val="20"/>
        </w:rPr>
      </w:pPr>
      <w:r>
        <w:rPr>
          <w:rFonts w:ascii="Arial" w:hAnsi="Arial" w:cs="Arial"/>
          <w:sz w:val="20"/>
          <w:szCs w:val="20"/>
        </w:rPr>
        <w:t>Liquidación</w:t>
      </w:r>
    </w:p>
    <w:p w:rsidR="002527D1" w:rsidRDefault="002527D1" w:rsidP="00FF1720">
      <w:pPr>
        <w:pStyle w:val="Prrafodelista"/>
        <w:numPr>
          <w:ilvl w:val="1"/>
          <w:numId w:val="1"/>
        </w:numPr>
        <w:spacing w:line="360" w:lineRule="auto"/>
        <w:jc w:val="both"/>
        <w:rPr>
          <w:rFonts w:ascii="Arial" w:hAnsi="Arial" w:cs="Arial"/>
          <w:sz w:val="20"/>
          <w:szCs w:val="20"/>
        </w:rPr>
      </w:pPr>
      <w:r>
        <w:rPr>
          <w:rFonts w:ascii="Arial" w:hAnsi="Arial" w:cs="Arial"/>
          <w:sz w:val="20"/>
          <w:szCs w:val="20"/>
        </w:rPr>
        <w:lastRenderedPageBreak/>
        <w:t>Valoración</w:t>
      </w:r>
    </w:p>
    <w:p w:rsidR="002527D1" w:rsidRDefault="002527D1" w:rsidP="00FF1720">
      <w:pPr>
        <w:pStyle w:val="Prrafodelista"/>
        <w:numPr>
          <w:ilvl w:val="1"/>
          <w:numId w:val="1"/>
        </w:numPr>
        <w:spacing w:line="360" w:lineRule="auto"/>
        <w:jc w:val="both"/>
        <w:rPr>
          <w:rFonts w:ascii="Arial" w:hAnsi="Arial" w:cs="Arial"/>
          <w:sz w:val="20"/>
          <w:szCs w:val="20"/>
        </w:rPr>
      </w:pPr>
      <w:r>
        <w:rPr>
          <w:rFonts w:ascii="Arial" w:hAnsi="Arial" w:cs="Arial"/>
          <w:sz w:val="20"/>
          <w:szCs w:val="20"/>
        </w:rPr>
        <w:t>Contribuyente</w:t>
      </w:r>
    </w:p>
    <w:p w:rsidR="002527D1" w:rsidRDefault="002527D1" w:rsidP="00FF1720">
      <w:pPr>
        <w:pStyle w:val="Prrafodelista"/>
        <w:numPr>
          <w:ilvl w:val="1"/>
          <w:numId w:val="1"/>
        </w:numPr>
        <w:spacing w:line="360" w:lineRule="auto"/>
        <w:jc w:val="both"/>
        <w:rPr>
          <w:rFonts w:ascii="Arial" w:hAnsi="Arial" w:cs="Arial"/>
          <w:sz w:val="20"/>
          <w:szCs w:val="20"/>
        </w:rPr>
      </w:pPr>
      <w:r>
        <w:rPr>
          <w:rFonts w:ascii="Arial" w:hAnsi="Arial" w:cs="Arial"/>
          <w:sz w:val="20"/>
          <w:szCs w:val="20"/>
        </w:rPr>
        <w:t>Exento</w:t>
      </w:r>
    </w:p>
    <w:p w:rsidR="00FF1720" w:rsidRPr="00FF1720" w:rsidRDefault="00FF1720" w:rsidP="002527D1">
      <w:pPr>
        <w:pStyle w:val="Prrafodelista"/>
        <w:numPr>
          <w:ilvl w:val="0"/>
          <w:numId w:val="2"/>
        </w:numPr>
        <w:ind w:left="426" w:hanging="426"/>
        <w:jc w:val="both"/>
        <w:rPr>
          <w:rFonts w:ascii="Arial" w:hAnsi="Arial" w:cs="Arial"/>
          <w:b/>
          <w:sz w:val="20"/>
          <w:szCs w:val="20"/>
        </w:rPr>
      </w:pPr>
      <w:r w:rsidRPr="00FF1720">
        <w:rPr>
          <w:rFonts w:ascii="Arial" w:hAnsi="Arial" w:cs="Arial"/>
          <w:b/>
          <w:sz w:val="20"/>
          <w:szCs w:val="20"/>
        </w:rPr>
        <w:t>Resumen: no debe exceder las 120 palabras, contadas con la función de Word "contar palabras"</w:t>
      </w:r>
    </w:p>
    <w:p w:rsidR="000555E9" w:rsidRDefault="000555E9" w:rsidP="0077750D">
      <w:pPr>
        <w:spacing w:line="360" w:lineRule="auto"/>
        <w:ind w:left="360"/>
        <w:jc w:val="both"/>
        <w:rPr>
          <w:rFonts w:ascii="Arial" w:hAnsi="Arial" w:cs="Arial"/>
          <w:sz w:val="20"/>
          <w:szCs w:val="20"/>
        </w:rPr>
      </w:pPr>
      <w:r>
        <w:rPr>
          <w:rFonts w:ascii="Arial" w:hAnsi="Arial" w:cs="Arial"/>
          <w:sz w:val="20"/>
          <w:szCs w:val="20"/>
          <w:lang w:val="es-ES"/>
        </w:rPr>
        <w:t>E</w:t>
      </w:r>
      <w:r w:rsidRPr="004B5BCD">
        <w:rPr>
          <w:rFonts w:ascii="Arial" w:hAnsi="Arial" w:cs="Arial"/>
          <w:sz w:val="20"/>
          <w:szCs w:val="20"/>
        </w:rPr>
        <w:t xml:space="preserve">l Mercado de Capitales Colombiano </w:t>
      </w:r>
      <w:r>
        <w:rPr>
          <w:rFonts w:ascii="Arial" w:hAnsi="Arial" w:cs="Arial"/>
          <w:sz w:val="20"/>
          <w:szCs w:val="20"/>
        </w:rPr>
        <w:t>tiene en la actualidad un</w:t>
      </w:r>
      <w:r w:rsidR="00FF1720" w:rsidRPr="004B5BCD">
        <w:rPr>
          <w:rFonts w:ascii="Arial" w:hAnsi="Arial" w:cs="Arial"/>
          <w:sz w:val="20"/>
          <w:szCs w:val="20"/>
        </w:rPr>
        <w:t xml:space="preserve"> tratamiento tributario </w:t>
      </w:r>
      <w:r>
        <w:rPr>
          <w:rFonts w:ascii="Arial" w:hAnsi="Arial" w:cs="Arial"/>
          <w:sz w:val="20"/>
          <w:szCs w:val="20"/>
        </w:rPr>
        <w:t>asimétrico en los diferentes tipos de títulos negociados. Así, la liquidación de la retención en la fuente para los rendimientos financieros de los títulos al descuento difier</w:t>
      </w:r>
      <w:r w:rsidR="00FF1720" w:rsidRPr="004B5BCD">
        <w:rPr>
          <w:rFonts w:ascii="Arial" w:hAnsi="Arial" w:cs="Arial"/>
          <w:sz w:val="20"/>
          <w:szCs w:val="20"/>
        </w:rPr>
        <w:t>e</w:t>
      </w:r>
      <w:r>
        <w:rPr>
          <w:rFonts w:ascii="Arial" w:hAnsi="Arial" w:cs="Arial"/>
          <w:sz w:val="20"/>
          <w:szCs w:val="20"/>
        </w:rPr>
        <w:t xml:space="preserve"> de lo</w:t>
      </w:r>
      <w:r w:rsidR="00FF1720" w:rsidRPr="004B5BCD">
        <w:rPr>
          <w:rFonts w:ascii="Arial" w:hAnsi="Arial" w:cs="Arial"/>
          <w:sz w:val="20"/>
          <w:szCs w:val="20"/>
        </w:rPr>
        <w:t>s</w:t>
      </w:r>
      <w:r>
        <w:rPr>
          <w:rFonts w:ascii="Arial" w:hAnsi="Arial" w:cs="Arial"/>
          <w:sz w:val="20"/>
          <w:szCs w:val="20"/>
        </w:rPr>
        <w:t xml:space="preserve"> practicados en títulos vencidos, esto se encuentra consignado en el Decreto 700 de 1997 y </w:t>
      </w:r>
      <w:r w:rsidR="00FF1720" w:rsidRPr="004B5BCD">
        <w:rPr>
          <w:rFonts w:ascii="Arial" w:hAnsi="Arial" w:cs="Arial"/>
          <w:sz w:val="20"/>
          <w:szCs w:val="20"/>
        </w:rPr>
        <w:t>produce implicaciones negativas para los inversionistas, agentes que intervienen en la emisión, negociación y liquidación de dichos valores y consecuencias negativas estructurales para este tipo de títulos</w:t>
      </w:r>
      <w:r>
        <w:rPr>
          <w:rFonts w:ascii="Arial" w:hAnsi="Arial" w:cs="Arial"/>
          <w:sz w:val="20"/>
          <w:szCs w:val="20"/>
        </w:rPr>
        <w:t xml:space="preserve">, como lo es su liquidez, la falta de indicadores de referencia válidos y el </w:t>
      </w:r>
      <w:r w:rsidR="00902F97">
        <w:rPr>
          <w:rFonts w:ascii="Arial" w:hAnsi="Arial" w:cs="Arial"/>
          <w:sz w:val="20"/>
          <w:szCs w:val="20"/>
        </w:rPr>
        <w:t xml:space="preserve">poco </w:t>
      </w:r>
      <w:r>
        <w:rPr>
          <w:rFonts w:ascii="Arial" w:hAnsi="Arial" w:cs="Arial"/>
          <w:sz w:val="20"/>
          <w:szCs w:val="20"/>
        </w:rPr>
        <w:t>desarrollo de instrumentos derivados; por lo que se hace necesaria y urgente la modificación normativa de este aspecto tributario colombiano.</w:t>
      </w:r>
    </w:p>
    <w:p w:rsidR="000555E9" w:rsidRPr="0077750D" w:rsidRDefault="000555E9" w:rsidP="0077750D">
      <w:pPr>
        <w:pStyle w:val="Prrafodelista"/>
        <w:numPr>
          <w:ilvl w:val="0"/>
          <w:numId w:val="2"/>
        </w:numPr>
        <w:spacing w:line="360" w:lineRule="auto"/>
        <w:jc w:val="both"/>
        <w:rPr>
          <w:rFonts w:ascii="Arial" w:hAnsi="Arial" w:cs="Arial"/>
          <w:b/>
          <w:sz w:val="20"/>
          <w:szCs w:val="20"/>
        </w:rPr>
      </w:pPr>
      <w:r w:rsidRPr="0077750D">
        <w:rPr>
          <w:rFonts w:ascii="Arial" w:hAnsi="Arial" w:cs="Arial"/>
          <w:b/>
          <w:sz w:val="20"/>
          <w:szCs w:val="20"/>
        </w:rPr>
        <w:t>Abstrac: traducción en ingles del resumen anterior</w:t>
      </w:r>
    </w:p>
    <w:p w:rsidR="000555E9" w:rsidRPr="000555E9" w:rsidRDefault="0077750D" w:rsidP="0077750D">
      <w:pPr>
        <w:spacing w:line="360" w:lineRule="auto"/>
        <w:ind w:left="360"/>
        <w:jc w:val="both"/>
        <w:rPr>
          <w:rFonts w:ascii="Arial" w:hAnsi="Arial" w:cs="Arial"/>
          <w:sz w:val="20"/>
          <w:szCs w:val="20"/>
          <w:lang w:val="en-US"/>
        </w:rPr>
      </w:pPr>
      <w:r w:rsidRPr="0077750D">
        <w:rPr>
          <w:rFonts w:ascii="Arial" w:hAnsi="Arial" w:cs="Arial"/>
          <w:sz w:val="20"/>
          <w:szCs w:val="20"/>
          <w:lang w:val="en-US"/>
        </w:rPr>
        <w:t xml:space="preserve">The Colombian Capital Market currently has an asymmetric tax treatment of different types of securities traded. Thus, the liquidation of the withholding tax for the financial returns of the securities at a discount differs from that in </w:t>
      </w:r>
      <w:r w:rsidR="00902F97">
        <w:rPr>
          <w:rFonts w:ascii="Arial" w:hAnsi="Arial" w:cs="Arial"/>
          <w:sz w:val="20"/>
          <w:szCs w:val="20"/>
          <w:lang w:val="en-US"/>
        </w:rPr>
        <w:t>other securities</w:t>
      </w:r>
      <w:r w:rsidRPr="0077750D">
        <w:rPr>
          <w:rFonts w:ascii="Arial" w:hAnsi="Arial" w:cs="Arial"/>
          <w:sz w:val="20"/>
          <w:szCs w:val="20"/>
          <w:lang w:val="en-US"/>
        </w:rPr>
        <w:t xml:space="preserve">, it is stated in the Decree 700 of 1997 and </w:t>
      </w:r>
      <w:r w:rsidR="00902F97">
        <w:rPr>
          <w:rFonts w:ascii="Arial" w:hAnsi="Arial" w:cs="Arial"/>
          <w:sz w:val="20"/>
          <w:szCs w:val="20"/>
          <w:lang w:val="en-US"/>
        </w:rPr>
        <w:t>has</w:t>
      </w:r>
      <w:r w:rsidRPr="0077750D">
        <w:rPr>
          <w:rFonts w:ascii="Arial" w:hAnsi="Arial" w:cs="Arial"/>
          <w:sz w:val="20"/>
          <w:szCs w:val="20"/>
          <w:lang w:val="en-US"/>
        </w:rPr>
        <w:t xml:space="preserve"> negative implications for investors, agents involved in the issuance, trading and settlement of such securities and </w:t>
      </w:r>
      <w:r w:rsidR="00902F97">
        <w:rPr>
          <w:rFonts w:ascii="Arial" w:hAnsi="Arial" w:cs="Arial"/>
          <w:sz w:val="20"/>
          <w:szCs w:val="20"/>
          <w:lang w:val="en-US"/>
        </w:rPr>
        <w:t xml:space="preserve">also has </w:t>
      </w:r>
      <w:r w:rsidRPr="0077750D">
        <w:rPr>
          <w:rFonts w:ascii="Arial" w:hAnsi="Arial" w:cs="Arial"/>
          <w:sz w:val="20"/>
          <w:szCs w:val="20"/>
          <w:lang w:val="en-US"/>
        </w:rPr>
        <w:lastRenderedPageBreak/>
        <w:t>structural conseq</w:t>
      </w:r>
      <w:r w:rsidR="00902F97">
        <w:rPr>
          <w:rFonts w:ascii="Arial" w:hAnsi="Arial" w:cs="Arial"/>
          <w:sz w:val="20"/>
          <w:szCs w:val="20"/>
          <w:lang w:val="en-US"/>
        </w:rPr>
        <w:t>uences for this type of securities</w:t>
      </w:r>
      <w:r w:rsidRPr="0077750D">
        <w:rPr>
          <w:rFonts w:ascii="Arial" w:hAnsi="Arial" w:cs="Arial"/>
          <w:sz w:val="20"/>
          <w:szCs w:val="20"/>
          <w:lang w:val="en-US"/>
        </w:rPr>
        <w:t xml:space="preserve">, such as liquidity, lack of valid benchmarks and </w:t>
      </w:r>
      <w:r w:rsidR="00902F97">
        <w:rPr>
          <w:rFonts w:ascii="Arial" w:hAnsi="Arial" w:cs="Arial"/>
          <w:sz w:val="20"/>
          <w:szCs w:val="20"/>
          <w:lang w:val="en-US"/>
        </w:rPr>
        <w:t xml:space="preserve">modest </w:t>
      </w:r>
      <w:r w:rsidRPr="0077750D">
        <w:rPr>
          <w:rFonts w:ascii="Arial" w:hAnsi="Arial" w:cs="Arial"/>
          <w:sz w:val="20"/>
          <w:szCs w:val="20"/>
          <w:lang w:val="en-US"/>
        </w:rPr>
        <w:t xml:space="preserve">development of derivative instruments, for what is necessary and urgent amendment </w:t>
      </w:r>
      <w:r w:rsidR="00902F97">
        <w:rPr>
          <w:rFonts w:ascii="Arial" w:hAnsi="Arial" w:cs="Arial"/>
          <w:sz w:val="20"/>
          <w:szCs w:val="20"/>
          <w:lang w:val="en-US"/>
        </w:rPr>
        <w:t xml:space="preserve">to </w:t>
      </w:r>
      <w:r w:rsidR="00902F97" w:rsidRPr="0077750D">
        <w:rPr>
          <w:rFonts w:ascii="Arial" w:hAnsi="Arial" w:cs="Arial"/>
          <w:sz w:val="20"/>
          <w:szCs w:val="20"/>
          <w:lang w:val="en-US"/>
        </w:rPr>
        <w:t xml:space="preserve">Colombian tax </w:t>
      </w:r>
      <w:r w:rsidRPr="0077750D">
        <w:rPr>
          <w:rFonts w:ascii="Arial" w:hAnsi="Arial" w:cs="Arial"/>
          <w:sz w:val="20"/>
          <w:szCs w:val="20"/>
          <w:lang w:val="en-US"/>
        </w:rPr>
        <w:t>regu</w:t>
      </w:r>
      <w:r w:rsidR="00902F97">
        <w:rPr>
          <w:rFonts w:ascii="Arial" w:hAnsi="Arial" w:cs="Arial"/>
          <w:sz w:val="20"/>
          <w:szCs w:val="20"/>
          <w:lang w:val="en-US"/>
        </w:rPr>
        <w:t>lation</w:t>
      </w:r>
      <w:r w:rsidRPr="0077750D">
        <w:rPr>
          <w:rFonts w:ascii="Arial" w:hAnsi="Arial" w:cs="Arial"/>
          <w:sz w:val="20"/>
          <w:szCs w:val="20"/>
          <w:lang w:val="en-US"/>
        </w:rPr>
        <w:t xml:space="preserve"> </w:t>
      </w:r>
      <w:r w:rsidR="00902F97">
        <w:rPr>
          <w:rFonts w:ascii="Arial" w:hAnsi="Arial" w:cs="Arial"/>
          <w:sz w:val="20"/>
          <w:szCs w:val="20"/>
          <w:lang w:val="en-US"/>
        </w:rPr>
        <w:t xml:space="preserve">in </w:t>
      </w:r>
      <w:r w:rsidRPr="0077750D">
        <w:rPr>
          <w:rFonts w:ascii="Arial" w:hAnsi="Arial" w:cs="Arial"/>
          <w:sz w:val="20"/>
          <w:szCs w:val="20"/>
          <w:lang w:val="en-US"/>
        </w:rPr>
        <w:t>this aspect.</w:t>
      </w:r>
      <w:r w:rsidR="00902F97">
        <w:rPr>
          <w:rFonts w:ascii="Arial" w:hAnsi="Arial" w:cs="Arial"/>
          <w:sz w:val="20"/>
          <w:szCs w:val="20"/>
          <w:lang w:val="en-US"/>
        </w:rPr>
        <w:t xml:space="preserve"> </w:t>
      </w:r>
    </w:p>
    <w:p w:rsidR="00E9684F" w:rsidRPr="000555E9" w:rsidRDefault="00E9684F">
      <w:pPr>
        <w:rPr>
          <w:rFonts w:ascii="Arial" w:hAnsi="Arial" w:cs="Arial"/>
          <w:sz w:val="20"/>
          <w:szCs w:val="20"/>
          <w:lang w:val="en-US"/>
        </w:rPr>
      </w:pPr>
      <w:r w:rsidRPr="000555E9">
        <w:rPr>
          <w:rFonts w:ascii="Arial" w:hAnsi="Arial" w:cs="Arial"/>
          <w:sz w:val="20"/>
          <w:szCs w:val="20"/>
          <w:lang w:val="en-US"/>
        </w:rPr>
        <w:br w:type="page"/>
      </w:r>
    </w:p>
    <w:p w:rsidR="00E9684F" w:rsidRPr="00AE0B13" w:rsidRDefault="00E9684F">
      <w:pPr>
        <w:jc w:val="both"/>
        <w:rPr>
          <w:rFonts w:ascii="Arial" w:hAnsi="Arial" w:cs="Arial"/>
          <w:b/>
          <w:sz w:val="20"/>
          <w:szCs w:val="20"/>
          <w:lang w:val="en-US"/>
        </w:rPr>
      </w:pPr>
    </w:p>
    <w:sectPr w:rsidR="00E9684F" w:rsidRPr="00AE0B13" w:rsidSect="00DC1B7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31E"/>
    <w:multiLevelType w:val="hybridMultilevel"/>
    <w:tmpl w:val="7696DB2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4AC1493"/>
    <w:multiLevelType w:val="hybridMultilevel"/>
    <w:tmpl w:val="A626A8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7A2"/>
    <w:rsid w:val="00054DB3"/>
    <w:rsid w:val="000555E9"/>
    <w:rsid w:val="000F7069"/>
    <w:rsid w:val="001D2CAB"/>
    <w:rsid w:val="002527D1"/>
    <w:rsid w:val="002B70EE"/>
    <w:rsid w:val="0077750D"/>
    <w:rsid w:val="008E67A2"/>
    <w:rsid w:val="00902F97"/>
    <w:rsid w:val="00AE0B13"/>
    <w:rsid w:val="00DC1B7F"/>
    <w:rsid w:val="00E9684F"/>
    <w:rsid w:val="00FF17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D213FC-518A-4378-9A54-26A8E0030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F1720"/>
    <w:pPr>
      <w:spacing w:after="0" w:line="240" w:lineRule="auto"/>
    </w:pPr>
  </w:style>
  <w:style w:type="paragraph" w:styleId="Prrafodelista">
    <w:name w:val="List Paragraph"/>
    <w:basedOn w:val="Normal"/>
    <w:uiPriority w:val="99"/>
    <w:qFormat/>
    <w:rsid w:val="00FF1720"/>
    <w:pPr>
      <w:ind w:left="720"/>
      <w:contextualSpacing/>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40D045-0A78-4741-930B-1D8377B81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322</Words>
  <Characters>1776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David Bonilla</dc:creator>
  <cp:lastModifiedBy>Generico Pat Biblioteca</cp:lastModifiedBy>
  <cp:revision>2</cp:revision>
  <dcterms:created xsi:type="dcterms:W3CDTF">2017-12-06T17:10:00Z</dcterms:created>
  <dcterms:modified xsi:type="dcterms:W3CDTF">2017-12-06T17:10:00Z</dcterms:modified>
</cp:coreProperties>
</file>