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Arial" w:cs="Arial" w:eastAsia="Arial" w:hAnsi="Arial"/>
          <w:b w:val="1"/>
          <w:sz w:val="24"/>
          <w:szCs w:val="24"/>
          <w:rtl w:val="0"/>
        </w:rPr>
        <w:t xml:space="preserve">Opiniones y entrevista a Rector Unisabana </w:t>
      </w:r>
    </w:p>
    <w:p w:rsidR="00000000" w:rsidDel="00000000" w:rsidP="00000000" w:rsidRDefault="00000000" w:rsidRPr="00000000">
      <w:pPr>
        <w:contextualSpacing w:val="0"/>
        <w:jc w:val="right"/>
      </w:pPr>
      <w:r w:rsidDel="00000000" w:rsidR="00000000" w:rsidRPr="00000000">
        <w:rPr>
          <w:rFonts w:ascii="Arial" w:cs="Arial" w:eastAsia="Arial" w:hAnsi="Arial"/>
          <w:b w:val="1"/>
          <w:sz w:val="24"/>
          <w:szCs w:val="24"/>
          <w:rtl w:val="0"/>
        </w:rPr>
        <w:t xml:space="preserve">Mayo 3 de 2016</w:t>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Opiniones generales del rector Obdulio Velásquez:</w:t>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Se desarrollar el proyecto con miras a cumplir los estándares que digan los evaluadores, independientemente de si se vaya a implementar o no. Y cumplir los requisitos académicos. No hay que poner desarrollos adicionales a la Universidad con la tarea madura ya de la nueva página web.</w:t>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“Lo que no quiero es que la complejidad en la toma de decisiones de la Universidad lo afecte”, dijo Obdulio Velásquez. </w:t>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“Serán ellos (Comunicación interna) los que valoren y juzguen como evaluadores si ese aporte es significativo”, agregó. </w:t>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¿Le gustaría que en la página web se expusiera el talento sabanero?</w:t>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“¿Que si a mí me gustaría tener eso? Sí, es una cosa interesante.  Sería muy bueno desarrollarlo. Eso tiene una metodología, un marco de comunicación vía web, donde el emprendimiento y la innovación en la Universidad de La Sabana se haga visible, la respuesta es sí (…) A mí me gustaría que hubiese un site, un subsitio, donde ese tema floreciera y fuera visible, a mí me gusta la idea, me parece muy buena”. </w:t>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¿Cuál es su opinión respecto del </w:t>
      </w:r>
      <w:r w:rsidDel="00000000" w:rsidR="00000000" w:rsidRPr="00000000">
        <w:rPr>
          <w:rFonts w:ascii="Arial" w:cs="Arial" w:eastAsia="Arial" w:hAnsi="Arial"/>
          <w:b w:val="1"/>
          <w:i w:val="1"/>
          <w:sz w:val="24"/>
          <w:szCs w:val="24"/>
          <w:rtl w:val="0"/>
        </w:rPr>
        <w:t xml:space="preserve">crowdfunding</w:t>
      </w:r>
      <w:r w:rsidDel="00000000" w:rsidR="00000000" w:rsidRPr="00000000">
        <w:rPr>
          <w:rFonts w:ascii="Arial" w:cs="Arial" w:eastAsia="Arial" w:hAnsi="Arial"/>
          <w:b w:val="1"/>
          <w:sz w:val="24"/>
          <w:szCs w:val="24"/>
          <w:rtl w:val="0"/>
        </w:rPr>
        <w:t xml:space="preserve"> y una posible implementación en la página web?</w:t>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‘El </w:t>
      </w:r>
      <w:r w:rsidDel="00000000" w:rsidR="00000000" w:rsidRPr="00000000">
        <w:rPr>
          <w:rFonts w:ascii="Arial" w:cs="Arial" w:eastAsia="Arial" w:hAnsi="Arial"/>
          <w:i w:val="1"/>
          <w:sz w:val="24"/>
          <w:szCs w:val="24"/>
          <w:rtl w:val="0"/>
        </w:rPr>
        <w:t xml:space="preserve">crowdfunding</w:t>
      </w:r>
      <w:r w:rsidDel="00000000" w:rsidR="00000000" w:rsidRPr="00000000">
        <w:rPr>
          <w:rFonts w:ascii="Arial" w:cs="Arial" w:eastAsia="Arial" w:hAnsi="Arial"/>
          <w:sz w:val="24"/>
          <w:szCs w:val="24"/>
          <w:rtl w:val="0"/>
        </w:rPr>
        <w:t xml:space="preserve"> es una cosa accesoria, es una cosa que ya está inventada, hay personas que profesionalmente se dedican a eso, con sitios de tráfico de más de un millón de personas. Y ya tienen la confianza de que los proyectos que salen allí, ellos cobran una comisión (…) Confianza en la Universidad sí la hay, pero no masa crítica, la masa crítica es pequeña. No digo que no, pero eso sería un objeto de discusión posterior. Promover la visibilidad del emprendimiento o de la innovación de graduados, de alumnos, eso me parece muy relevante porque es la participación de la comunidad universitaria en el mundo virtual, hacer realidad esas interacciones… las páginas no son una colección de vallas sino que allí tienen una experiencia de campus universitario…’.</w:t>
      </w:r>
    </w:p>
    <w:p w:rsidR="00000000" w:rsidDel="00000000" w:rsidP="00000000" w:rsidRDefault="00000000" w:rsidRPr="00000000">
      <w:pPr>
        <w:contextualSpacing w:val="0"/>
        <w:jc w:val="center"/>
      </w:pPr>
      <w:r w:rsidDel="00000000" w:rsidR="00000000" w:rsidRPr="00000000">
        <w:rPr>
          <w:rFonts w:ascii="Arial" w:cs="Arial" w:eastAsia="Arial" w:hAnsi="Arial"/>
          <w:b w:val="1"/>
          <w:sz w:val="24"/>
          <w:szCs w:val="24"/>
          <w:rtl w:val="0"/>
        </w:rPr>
        <w:t xml:space="preserve">Entrevista</w:t>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¿Usted cómo definiría a la comunidad universitaria de pregrado?</w:t>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“Los 8.800 estudiantes de la Universidad de La Sabana son un reflejo de lo que es Colombia. Es decir, hay una buena muestra de lo que es Colombia. El 48 % de sus estudiantes es de estratos 1, 2 y 3. La composición socioeconómica es significativa, la mitad de los estudiantes son de escasos recursos. También hay de 4, 5 y 6, todos conviviendo en la misma Universidad con un Proyecto Educativo Institucional. El 25  % de los estudiantes viene de las diferentes regiones de Colombia, no solo de Bogotá.</w:t>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“Tenemos una composición de estudiantes de colegios públicos y privados y eso también está generando una mezcla significativa. Hablamos de una proporción de mayoritariamente de mujeres (…) Usted encuentra gente que logra convivir en un ambiente abierto, donde se genera una cultura del respeto, aquí hay una cultura del respeto, natural, por cultura, por respeto al medioambiente, al orden, a la limpieza de las cosas, en el trato personal porque la gente procura ser amable y eso va generando una cosa interesante en la formación de esos jóvenes que después van a ser profesionales y esos le van a servir en el desarrollo de esas competencia0. La universidad como comunidad de personas forma es una comunidad que forma en una serie de actitudes, comportamientos y competencias”. </w:t>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¿Es posible motivar a esta comunidad con todos esos valores y cualidades que menciona a que ayude también a sus pares?</w:t>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“Yo creo que hay proyectos en ese sentido. Bienestar Universitario trabaja en ese sentido y hace menos de una semana terminó Misión Sabana. En el programa PAT (Programa Aprendamos a Trabajar) participan cerca de mil estudiantes para la formación y colaboración de trabajo. Yo creo que sí, que allí hay un campo de crecimiento y oportunidad para la solidaridad”.</w:t>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¿Considera que la comunidad de pregrado es una comunidad digital?</w:t>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“No, yo creo que Colombia está todavía en un proceso de transición en ese sentido. Sus mismas estadísticas (ver Anexo: Encuesta para proyecto de grado) lo está diciendo: 38.1 % no ha hecho una transacción electrónica. Pero eso no es solamente en mi comunidad, sino que si usted pregunta cuánta gente adulta ha comprado por Internet somos pocos…”.</w:t>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Pero el acceso a plataformas digitales…</w:t>
      </w:r>
    </w:p>
    <w:p w:rsidR="00000000" w:rsidDel="00000000" w:rsidP="00000000" w:rsidRDefault="00000000" w:rsidRPr="00000000">
      <w:pPr>
        <w:contextualSpacing w:val="0"/>
      </w:pPr>
      <w:bookmarkStart w:colFirst="0" w:colLast="0" w:name="_gjdgxs" w:id="0"/>
      <w:bookmarkEnd w:id="0"/>
      <w:r w:rsidDel="00000000" w:rsidR="00000000" w:rsidRPr="00000000">
        <w:rPr>
          <w:rFonts w:ascii="Arial" w:cs="Arial" w:eastAsia="Arial" w:hAnsi="Arial"/>
          <w:sz w:val="24"/>
          <w:szCs w:val="24"/>
          <w:rtl w:val="0"/>
        </w:rPr>
        <w:t xml:space="preserve">“Todo el mundo tiene acceso, pero que realmente sea una persona digital en el sentido de que lo digital realmente sea como el centro de toda su actividad, no; están en redes sociales, en entretenimiento y obviamente la tecnología está jugando un papel central, pero todavía falta mucho en ese proceso de educación digital. Por eso tenemos el Centro de Tecnologías  para la Academia (CTA), porque es un centro que desde hace más de 20 años busca incorporar a la comunidad universitaria, ya profesores, estudiantes y empleados, al mundo de la educación digital”. </w:t>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La Universidad tiene distintos canales de comunicación, están las redes sociales, el periódico interno, la comunicación interna, en fin… ¿Qué tan importante cree usted que es la página web oficial? ¿Es ya casi como una casa matriz de la Universidad?</w:t>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“Las páginas web las de las instituciones y de La Sabana no son una excepción, se convierten en la puerta de entrada de los que estamos adentro y de los que están afuera, porque finalmente deben reflejar en la medida de lo posible la experiencia de vivir, trabajar y estudiar en la Universidad de La Sabana. Y hacia eso van los proyectos de reforma y transformación de la página web, siguiendo las tendencias de interacción y de las posibilidades que está ofreciendo Internet. Nadie hace una cosa sin visitar la página web, interna o externa (…) la actualidad y la manera de presentar la información es clave”.    </w:t>
      </w:r>
    </w:p>
    <w:sectPr>
      <w:pgSz w:h="15840" w:w="12240"/>
      <w:pgMar w:bottom="1417" w:top="1417"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C646F-A4B2-4C98-BF50-3A87DEF37337}"/>
</file>

<file path=customXml/itemProps2.xml><?xml version="1.0" encoding="utf-8"?>
<ds:datastoreItem xmlns:ds="http://schemas.openxmlformats.org/officeDocument/2006/customXml" ds:itemID="{3A141699-DCFD-4192-B98B-46D3B2ED0630}"/>
</file>

<file path=customXml/itemProps3.xml><?xml version="1.0" encoding="utf-8"?>
<ds:datastoreItem xmlns:ds="http://schemas.openxmlformats.org/officeDocument/2006/customXml" ds:itemID="{0FDAA554-3859-4505-99B1-5FFA6B5D7818}"/>
</file>